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4" w:rsidRDefault="000F6564" w:rsidP="00C939CB">
      <w:pPr>
        <w:rPr>
          <w:rFonts w:cs="Times New Roman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2113"/>
        <w:gridCol w:w="713"/>
        <w:gridCol w:w="438"/>
        <w:gridCol w:w="535"/>
        <w:gridCol w:w="563"/>
        <w:gridCol w:w="703"/>
        <w:gridCol w:w="702"/>
        <w:gridCol w:w="703"/>
        <w:gridCol w:w="1057"/>
        <w:gridCol w:w="787"/>
        <w:gridCol w:w="570"/>
      </w:tblGrid>
      <w:tr w:rsidR="000F6564" w:rsidRPr="00103CC8">
        <w:trPr>
          <w:trHeight w:val="510"/>
        </w:trPr>
        <w:tc>
          <w:tcPr>
            <w:tcW w:w="695" w:type="dxa"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redni</w:t>
            </w:r>
            <w:r w:rsidRPr="00103CC8">
              <w:rPr>
                <w:b/>
                <w:bCs/>
              </w:rPr>
              <w:br/>
              <w:t>broj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prezime i ime</w:t>
            </w:r>
          </w:p>
        </w:tc>
        <w:tc>
          <w:tcPr>
            <w:tcW w:w="989" w:type="dxa"/>
            <w:gridSpan w:val="2"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broj</w:t>
            </w:r>
            <w:r w:rsidRPr="00103CC8">
              <w:rPr>
                <w:b/>
                <w:bCs/>
              </w:rPr>
              <w:br/>
              <w:t>indeksa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I</w:t>
            </w: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II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III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IV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V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aktivnost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Kolok.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  <w:rPr>
                <w:b/>
                <w:bCs/>
              </w:rPr>
            </w:pPr>
            <w:r w:rsidRPr="00103CC8">
              <w:rPr>
                <w:b/>
                <w:bCs/>
              </w:rPr>
              <w:t>p.k.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Stevanović Miroslav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614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4(0)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Sredojević Nikola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615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484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Gagić Milica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618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Smiljković Bratislav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619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Starčević Aleksandar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620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Maksimović Marijana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621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13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7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Adrović Nikola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622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8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Ivanović Stefan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623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25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9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Vujanović Jovan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624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7,5 (0)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Rakočević Manojle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625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7,5(0)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 (0)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Gluščević Marko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627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13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Antić Nikola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628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14,5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13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Naumović Andrej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629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22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14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Panić Predrag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630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15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Čolovejić Aleksandar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631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16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Veličković Pavle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632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17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Kusturić Uroš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633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18,5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18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Popović Sara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634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19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Gajić Luka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635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20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Ivanov Helena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636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28,5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21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Milić Bojan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637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?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3(0)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22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Vukmirović Danilo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638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23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Borovčanin Marko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639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15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24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Stanimirović Nikola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640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1(0)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25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Milinković Mihailo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641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26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Vuksanović Gordana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642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27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Vuković Barbara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643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28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Srejić Katarina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644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29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Ilić Stefan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646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7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15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30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Predić Marta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648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31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Lojaničić Lazar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650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32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Stjepanović Siniša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651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33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Todorović Nikola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652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34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Rakes Vidoslav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654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35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Magdić Konstantin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655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36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Bojanović Bojana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656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37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  <w:rPr>
                <w:rFonts w:cs="Times New Roman"/>
              </w:rPr>
            </w:pPr>
            <w:r w:rsidRPr="00103CC8">
              <w:t xml:space="preserve"> Topalović Mihailo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657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38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Ćirić Bojan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658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39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Dabetić Stefan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659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40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Baltić Uroš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660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13,5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41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Tošić Aleksandar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661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42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Ćurčić Dušan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662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43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Milanović Mirna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663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44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Kalanović Boško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664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22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45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Pejović Anastasija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665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12,5</w:t>
            </w: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46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Mitrović Marko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666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47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Ivković Milena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667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18</w:t>
            </w: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48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Kitić Miroslav 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668  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 11  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49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Borjan Nemanja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614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08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50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Popović Vladimir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660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51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Sablić Srđan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612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52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Mikičić Aleksandar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696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09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53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Skelić Zorana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619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54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Petrović Petar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414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11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55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Lazarević Đorđe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606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56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Mitković Jelena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670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57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Nemanja Stefanović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702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09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58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Milosavljević Ognjen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603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59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Binić Marija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625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60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Milošević Ivana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635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61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Đurković Natalija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639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62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Zahirović Teodora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645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63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Đurović Stefan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629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07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64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Arnautović Danica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93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10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65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Tasić Nemanja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163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09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  <w:tr w:rsidR="000F6564" w:rsidRPr="00103CC8">
        <w:trPr>
          <w:trHeight w:val="300"/>
        </w:trPr>
        <w:tc>
          <w:tcPr>
            <w:tcW w:w="695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66</w:t>
            </w:r>
          </w:p>
        </w:tc>
        <w:tc>
          <w:tcPr>
            <w:tcW w:w="213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 xml:space="preserve">Kukuć Veljko </w:t>
            </w:r>
          </w:p>
        </w:tc>
        <w:tc>
          <w:tcPr>
            <w:tcW w:w="71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715</w:t>
            </w:r>
          </w:p>
        </w:tc>
        <w:tc>
          <w:tcPr>
            <w:tcW w:w="271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08</w:t>
            </w:r>
          </w:p>
        </w:tc>
        <w:tc>
          <w:tcPr>
            <w:tcW w:w="53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66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3,5</w:t>
            </w:r>
          </w:p>
        </w:tc>
        <w:tc>
          <w:tcPr>
            <w:tcW w:w="707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2,5</w:t>
            </w:r>
          </w:p>
        </w:tc>
        <w:tc>
          <w:tcPr>
            <w:tcW w:w="708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2</w:t>
            </w:r>
          </w:p>
        </w:tc>
        <w:tc>
          <w:tcPr>
            <w:tcW w:w="1063" w:type="dxa"/>
            <w:noWrap/>
          </w:tcPr>
          <w:p w:rsidR="000F6564" w:rsidRPr="00103CC8" w:rsidRDefault="000F6564" w:rsidP="00103CC8">
            <w:pPr>
              <w:spacing w:after="0" w:line="240" w:lineRule="auto"/>
            </w:pPr>
            <w:r w:rsidRPr="00103CC8">
              <w:t>4</w:t>
            </w:r>
          </w:p>
        </w:tc>
        <w:tc>
          <w:tcPr>
            <w:tcW w:w="791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  <w:tc>
          <w:tcPr>
            <w:tcW w:w="572" w:type="dxa"/>
          </w:tcPr>
          <w:p w:rsidR="000F6564" w:rsidRPr="00103CC8" w:rsidRDefault="000F6564" w:rsidP="00103CC8">
            <w:pPr>
              <w:spacing w:after="0" w:line="240" w:lineRule="auto"/>
            </w:pPr>
          </w:p>
        </w:tc>
      </w:tr>
    </w:tbl>
    <w:p w:rsidR="000F6564" w:rsidRDefault="000F6564" w:rsidP="00C939CB">
      <w:pPr>
        <w:rPr>
          <w:rFonts w:cs="Times New Roman"/>
        </w:rPr>
      </w:pPr>
    </w:p>
    <w:p w:rsidR="000F6564" w:rsidRDefault="000F6564" w:rsidP="00C939CB">
      <w:pPr>
        <w:rPr>
          <w:rFonts w:cs="Times New Roman"/>
        </w:rPr>
      </w:pPr>
    </w:p>
    <w:p w:rsidR="000F6564" w:rsidRDefault="000F6564" w:rsidP="00C939CB">
      <w:r>
        <w:t>+ dolazak</w:t>
      </w:r>
    </w:p>
    <w:p w:rsidR="000F6564" w:rsidRDefault="000F6564" w:rsidP="00C939CB">
      <w:r>
        <w:t>1 aktivnost</w:t>
      </w:r>
    </w:p>
    <w:p w:rsidR="000F6564" w:rsidRDefault="000F6564" w:rsidP="00C939CB">
      <w:r>
        <w:t>(br.) mali test</w:t>
      </w:r>
    </w:p>
    <w:p w:rsidR="000F6564" w:rsidRDefault="000F6564" w:rsidP="00C939CB">
      <w:r>
        <w:t>Kolokvijum jun 2013.</w:t>
      </w:r>
    </w:p>
    <w:p w:rsidR="000F6564" w:rsidRDefault="000F6564" w:rsidP="00C939CB">
      <w:r>
        <w:t>Popravni kolokvijum jul 2013.</w:t>
      </w:r>
      <w:bookmarkStart w:id="0" w:name="_GoBack"/>
      <w:bookmarkEnd w:id="0"/>
    </w:p>
    <w:p w:rsidR="000F6564" w:rsidRDefault="000F6564">
      <w:pPr>
        <w:rPr>
          <w:rFonts w:cs="Times New Roman"/>
        </w:rPr>
      </w:pPr>
    </w:p>
    <w:sectPr w:rsidR="000F6564" w:rsidSect="008A0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CB"/>
    <w:rsid w:val="000F6564"/>
    <w:rsid w:val="00103CC8"/>
    <w:rsid w:val="001130EB"/>
    <w:rsid w:val="00154ED4"/>
    <w:rsid w:val="00190FB0"/>
    <w:rsid w:val="00360CF8"/>
    <w:rsid w:val="00522B3C"/>
    <w:rsid w:val="00540039"/>
    <w:rsid w:val="005835CC"/>
    <w:rsid w:val="0064448B"/>
    <w:rsid w:val="007E588E"/>
    <w:rsid w:val="008A0073"/>
    <w:rsid w:val="008B13AB"/>
    <w:rsid w:val="00927FB5"/>
    <w:rsid w:val="009E0D60"/>
    <w:rsid w:val="00A16D0A"/>
    <w:rsid w:val="00A36AEE"/>
    <w:rsid w:val="00A87C75"/>
    <w:rsid w:val="00AA00D5"/>
    <w:rsid w:val="00BF2B6E"/>
    <w:rsid w:val="00C939CB"/>
    <w:rsid w:val="00CA1E9E"/>
    <w:rsid w:val="00E079E9"/>
    <w:rsid w:val="00E260AD"/>
    <w:rsid w:val="00E7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CB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9CB"/>
    <w:rPr>
      <w:rFonts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478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</dc:title>
  <dc:subject/>
  <dc:creator>Tijana</dc:creator>
  <cp:keywords/>
  <dc:description/>
  <cp:lastModifiedBy> </cp:lastModifiedBy>
  <cp:revision>2</cp:revision>
  <dcterms:created xsi:type="dcterms:W3CDTF">2013-07-03T11:24:00Z</dcterms:created>
  <dcterms:modified xsi:type="dcterms:W3CDTF">2013-07-03T11:24:00Z</dcterms:modified>
</cp:coreProperties>
</file>